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9" w:rsidRDefault="00002D69" w:rsidP="00002D69">
      <w:pPr>
        <w:spacing w:after="0" w:line="282" w:lineRule="atLeast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u w:val="single"/>
          <w:lang w:eastAsia="hr-HR"/>
        </w:rPr>
        <w:t>PRODUŽENI BORAVAK</w:t>
      </w:r>
    </w:p>
    <w:p w:rsidR="00002D69" w:rsidRDefault="00002D69" w:rsidP="00002D69">
      <w:pPr>
        <w:spacing w:after="0" w:line="282" w:lineRule="atLeast"/>
        <w:ind w:left="720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Produženi boravak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neobvezan je oblik odgojno-obrazovnog rada namijenjen učenicima razredne nastave koji se provodi izvan redovite nastave i ima svoje pedagoške, odgojne, zdravstvene i socijalne vrijednosti.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Osnovne škole organiziraju produženi boravak za potrebe svojih učenika, a iznimno i za učenike izvan svoga upisnog područja uz suglasnost Gradskog ureda za obrazovanje, kulturu i sport. Produženi boravak organizira se u školskoj godini 201</w:t>
      </w:r>
      <w:r w:rsidR="009B506F">
        <w:rPr>
          <w:rFonts w:asciiTheme="majorHAnsi" w:eastAsia="Times New Roman" w:hAnsiTheme="majorHAnsi" w:cs="Times New Roman"/>
          <w:color w:val="000000"/>
          <w:lang w:eastAsia="hr-HR"/>
        </w:rPr>
        <w:t>8</w:t>
      </w:r>
      <w:r>
        <w:rPr>
          <w:rFonts w:asciiTheme="majorHAnsi" w:eastAsia="Times New Roman" w:hAnsiTheme="majorHAnsi" w:cs="Times New Roman"/>
          <w:color w:val="000000"/>
          <w:lang w:eastAsia="hr-HR"/>
        </w:rPr>
        <w:t>./201</w:t>
      </w:r>
      <w:r w:rsidR="009B506F">
        <w:rPr>
          <w:rFonts w:asciiTheme="majorHAnsi" w:eastAsia="Times New Roman" w:hAnsiTheme="majorHAnsi" w:cs="Times New Roman"/>
          <w:color w:val="000000"/>
          <w:lang w:eastAsia="hr-HR"/>
        </w:rPr>
        <w:t>9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. za učenike I.,II.,i III. razreda, a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iznimno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i za učenike IV. razreda.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Sukladno odredbama Državnoga pedagoškog standarda osnovnoškolskog sustava odgoja i obrazovanja (Narodne novine 63/08 i 90/10), nastava u produženom boravku organizira se u prijepodnevnim satima, a ostale aktivnosti nakon završetka nastave.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Dnevno trajanje produženog boravka je od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12,00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do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17,00 sati,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a škole ga usklađuju s potrebama zaposlenih roditelja te svojim organizacijskim i prostornim uvjetima.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Produženi boravak škole mogu organizirati uz uvjet da imaju odgovarajući učionički i drugi prostor.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Program produženog boravka provodi se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  od 12,00 do 14,00 sati učenici provode slobodno vrijeme (objed, odmor), 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od 14,00 do 17,00 sati, odnosno do dolaska roditelja po učenike, za učenike je organiziran samostalni rad.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 organiziranome samostalnom radu učenici, pod vodstvom učitelja, izrađuju domaće zadaće, samostalno uče, izvode istraživačke projekte i izrađuju ostale zadatke. 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 xml:space="preserve">Prioritet </w:t>
      </w:r>
      <w:r>
        <w:rPr>
          <w:rFonts w:asciiTheme="majorHAnsi" w:eastAsia="Times New Roman" w:hAnsiTheme="majorHAnsi" w:cs="Times New Roman"/>
          <w:color w:val="000000"/>
          <w:lang w:eastAsia="hr-HR"/>
        </w:rPr>
        <w:t>pri uključivanju u produženi boravak imaju: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obaju zaposlenih roditelja ili zaposlenoga samohranog roditelja koja koriste pravo na novčanu pomoć u sustavu socijalne skrbi;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invalida Domovinskog rata ako je drugi roditelj zaposlen;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s teškoćama u razvoju;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bez roditelja ili zanemarenoga roditeljskog staranja;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žive u teškim zdravstvenim i socijalnim uvjetima;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primaju dječji doplatak.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Dokumente s dokazima o ispunjavanju navedenih uvjeta roditelji, odnosno staratelji učenika, dostavljaju školi. Ako se za uključivanje u produženi boravak prijavi veći broj učenika, a škola zbog ograničenih prostornih uvjeta ne može povećati broj odgojno- obrazovnih skupina, prioritet pri uključivanju u produženi boravak škola utvrđuje na osnovi navedenih kriterija.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U školskoj godini 2016/207.  za učenike s prebivalištem u Gradu Zagrebu planiran je jedinstven mjesečni iznos sudjelovanja roditelja u cijeni programa produženog boravka, i to: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I., II. i III.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- 200,00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IV.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– 350,00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lastRenderedPageBreak/>
        <w:t>Iznos sudjelovanja roditelja učenika plaća se 10 mjeseci (rujan-lipanj) i može se umanjiti samo ako roditelji ostvaruju olakšice u plaćanju utvrđene ovim programom.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Olakšice u plaćanju imaju roditelji učenika s prebivalištem na području Grada Zagreba 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(100% i 90%)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(80% do 60%) - plaća 50%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(50% i manje)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treće i svako daljnje dijete iste obitelji u programu produženog boravka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drugo dijete iste obitelji u programu produženog boravka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samohranog roditelja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čija se obitelj koristi pravom na zajamčenu minimalnu naknadu u sustavu socijalne skrbi oslobađa se obveze sudjelovanja u cijeni programa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Osnovne škole će utvrditi pravo na olakšice u plaćanju na temelju sljedećih dokaza: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1. 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prebivalištu djeteta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2. 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dokazi o samohranosti roditelja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rodni list, smrtni list za preminulog roditelja ili potvrda o nestanku drugog roditelja ili rješenje Centra za socijalnu skrb o privremenom uzdržavanju djeteta;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3. 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statusu osobe s invaliditetom i postotku invalidnosti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4. 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dokazi o pravu na zajamčenu minimalnu naknadu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rješenje centra za socijalnu skrb o pravu na </w:t>
      </w:r>
      <w:r w:rsidRPr="00002D69">
        <w:rPr>
          <w:rFonts w:asciiTheme="majorHAnsi" w:eastAsia="Times New Roman" w:hAnsiTheme="majorHAnsi" w:cs="Times New Roman"/>
          <w:color w:val="000000"/>
          <w:lang w:eastAsia="hr-HR"/>
        </w:rPr>
        <w:t>zajamčenu minimalnu naknadu.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Ako roditelj učenika ostvaruje olakšicu po više osnova, primjenjuje se jedna olakšica koja je za roditelja najpovoljnija.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002D69" w:rsidRDefault="00002D69" w:rsidP="00002D69"/>
    <w:p w:rsidR="00F35553" w:rsidRDefault="00F35553"/>
    <w:sectPr w:rsidR="00F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9"/>
    <w:rsid w:val="00002D69"/>
    <w:rsid w:val="009B506F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Marko</cp:lastModifiedBy>
  <cp:revision>3</cp:revision>
  <dcterms:created xsi:type="dcterms:W3CDTF">2016-05-29T07:58:00Z</dcterms:created>
  <dcterms:modified xsi:type="dcterms:W3CDTF">2018-05-25T15:04:00Z</dcterms:modified>
</cp:coreProperties>
</file>